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672"/>
        <w:gridCol w:w="672"/>
        <w:gridCol w:w="1262"/>
        <w:gridCol w:w="1066"/>
        <w:gridCol w:w="1019"/>
        <w:gridCol w:w="876"/>
        <w:gridCol w:w="671"/>
        <w:gridCol w:w="671"/>
        <w:gridCol w:w="671"/>
        <w:gridCol w:w="674"/>
        <w:gridCol w:w="671"/>
        <w:gridCol w:w="671"/>
        <w:gridCol w:w="677"/>
        <w:gridCol w:w="814"/>
        <w:gridCol w:w="1013"/>
        <w:gridCol w:w="1072"/>
        <w:gridCol w:w="973"/>
      </w:tblGrid>
      <w:tr w:rsidR="00623C87" w:rsidRPr="00623C87" w:rsidTr="00376D64">
        <w:trPr>
          <w:trHeight w:val="227"/>
        </w:trPr>
        <w:tc>
          <w:tcPr>
            <w:tcW w:w="4686" w:type="pct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PROGRAMA DE ACTIVIDADES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499"/>
        </w:trPr>
        <w:tc>
          <w:tcPr>
            <w:tcW w:w="12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DENOMINACIÓN SOCIEDAD GESTORA :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340"/>
        </w:trPr>
        <w:tc>
          <w:tcPr>
            <w:tcW w:w="66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Gestión de IIC armonizadas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376D64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23C87">
              <w:rPr>
                <w:rFonts w:ascii="Wingdings" w:eastAsia="Times New Roman" w:hAnsi="Wingdings" w:cs="Times New Roman"/>
                <w:sz w:val="20"/>
                <w:szCs w:val="20"/>
                <w:lang w:eastAsia="es-ES"/>
              </w:rPr>
              <w:t></w:t>
            </w:r>
            <w:r w:rsidR="00623C87" w:rsidRPr="00623C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4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Gestión de IIC no armonizadas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  <w:r w:rsidR="00376D64" w:rsidRPr="00623C87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  <w:r w:rsidR="00376D64" w:rsidRPr="00623C87">
              <w:rPr>
                <w:rFonts w:ascii="Wingdings" w:eastAsia="Times New Roman" w:hAnsi="Wingdings" w:cs="Times New Roman"/>
                <w:lang w:eastAsia="es-ES"/>
              </w:rPr>
              <w:t>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2"/>
                <w:lang w:eastAsia="es-ES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Actividades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Clientes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5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Actividades</w:t>
            </w:r>
          </w:p>
        </w:tc>
        <w:tc>
          <w:tcPr>
            <w:tcW w:w="9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Clientes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454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Gestión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Comercialización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Minoristas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Profesionales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Gestión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Comercialización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Minoristas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Inversores no profesionales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Profesionales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 armonizados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 no armonizados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SICAV armonizadas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SICAV no armonizadas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SII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0"/>
        </w:trPr>
        <w:tc>
          <w:tcPr>
            <w:tcW w:w="664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Gestión de Entidades de Inversión Colectivas de tipo cerrado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  <w:r w:rsidR="00376D64" w:rsidRPr="00623C87">
              <w:rPr>
                <w:rFonts w:ascii="Wingdings" w:eastAsia="Times New Roman" w:hAnsi="Wingdings" w:cs="Times New Roman"/>
                <w:lang w:eastAsia="es-ES"/>
              </w:rPr>
              <w:t>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IICIL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Actividades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Clientes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IICIICIL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Gestión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Comercialización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Inversores no profesionales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Profesionales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IIC subordinadas de IL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FCR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SCR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EICC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FCRE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FESE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340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FILPE</w:t>
            </w: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br/>
            </w:r>
            <w:r w:rsidRPr="00623C87">
              <w:rPr>
                <w:rFonts w:ascii="Arial" w:eastAsia="Times New Roman" w:hAnsi="Arial" w:cs="Arial"/>
                <w:i/>
                <w:sz w:val="10"/>
                <w:szCs w:val="10"/>
                <w:lang w:eastAsia="es-ES"/>
              </w:rPr>
              <w:t xml:space="preserve"> (en este caso los inversores no profesionales se entenderán como minoristas)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Otros FIA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1285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Servicios de inversión</w:t>
            </w:r>
          </w:p>
        </w:tc>
        <w:tc>
          <w:tcPr>
            <w:tcW w:w="27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Instrumentos financieros (Anexo TRLMV por remisión del artículo 2)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Clientes</w:t>
            </w:r>
          </w:p>
        </w:tc>
      </w:tr>
      <w:tr w:rsidR="00623C87" w:rsidRPr="00623C87" w:rsidTr="00376D64">
        <w:trPr>
          <w:trHeight w:val="227"/>
        </w:trPr>
        <w:tc>
          <w:tcPr>
            <w:tcW w:w="448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  <w:r w:rsidRPr="00623C87"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  <w:r w:rsidRPr="00623C87"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376D64" w:rsidP="00623C8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  <w:r w:rsidRPr="00623C87">
              <w:rPr>
                <w:rFonts w:ascii="Wingdings" w:eastAsia="Times New Roman" w:hAnsi="Wingdings" w:cs="Times New Roman"/>
                <w:lang w:eastAsia="es-ES"/>
              </w:rPr>
              <w:t>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a)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b)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d)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e)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f)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g)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h)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i)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j)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k)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Minoristas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Profesionales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Contrapartes elegibles</w:t>
            </w:r>
          </w:p>
        </w:tc>
      </w:tr>
      <w:tr w:rsidR="00623C87" w:rsidRPr="00623C87" w:rsidTr="00376D64">
        <w:trPr>
          <w:trHeight w:val="397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Gestión discrecional e individualizada de carteras de inversiones, incluidas las pertenecientes a fondos de pensiones.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  <w:r w:rsidRPr="00623C87"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  <w:t> </w:t>
            </w:r>
          </w:p>
        </w:tc>
      </w:tr>
      <w:tr w:rsidR="00623C87" w:rsidRPr="00623C87" w:rsidTr="00376D64">
        <w:trPr>
          <w:trHeight w:val="227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Asesoramiento sobre inversiones.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850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Custodia y administración de las participaciones de los fondos de inversión y, en su caso, de las acciones de las sociedades de inversión, de los FCRE y FESE.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  <w:r w:rsidRPr="00623C87"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  <w:t> </w:t>
            </w:r>
          </w:p>
        </w:tc>
      </w:tr>
      <w:tr w:rsidR="00623C87" w:rsidRPr="00623C87" w:rsidTr="00376D64">
        <w:trPr>
          <w:trHeight w:val="518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Recepción y transmisión de órdenes de clientes en relación con uno o más instrumentos financieros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</w:tr>
      <w:tr w:rsidR="00623C87" w:rsidRPr="00623C87" w:rsidTr="00376D6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300"/>
        </w:trPr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170"/>
        </w:trPr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Otras actividades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504D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227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</w:pPr>
            <w:r w:rsidRPr="00623C87">
              <w:rPr>
                <w:rFonts w:ascii="Calibri" w:eastAsia="Times New Roman" w:hAnsi="Calibri" w:cs="Times New Roman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lang w:eastAsia="es-ES"/>
              </w:rPr>
            </w:pPr>
            <w:r w:rsidRPr="00623C87">
              <w:rPr>
                <w:rFonts w:ascii="Wingdings" w:eastAsia="Times New Roman" w:hAnsi="Wingdings" w:cs="Times New Roman"/>
                <w:lang w:eastAsia="es-ES"/>
              </w:rPr>
              <w:t>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  <w:tr w:rsidR="00623C87" w:rsidRPr="00623C87" w:rsidTr="00376D64">
        <w:trPr>
          <w:trHeight w:val="397"/>
        </w:trPr>
        <w:tc>
          <w:tcPr>
            <w:tcW w:w="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Comercialización de Planes de Pensiones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C87" w:rsidRPr="00623C87" w:rsidRDefault="00623C87" w:rsidP="00623C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623C8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C87" w:rsidRPr="00623C87" w:rsidRDefault="00623C87" w:rsidP="00623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ES"/>
              </w:rPr>
            </w:pPr>
          </w:p>
        </w:tc>
      </w:tr>
    </w:tbl>
    <w:p w:rsidR="00DE7649" w:rsidRDefault="00674D77"/>
    <w:sectPr w:rsidR="00DE7649" w:rsidSect="00376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87"/>
    <w:rsid w:val="00376D64"/>
    <w:rsid w:val="00623C87"/>
    <w:rsid w:val="00674D77"/>
    <w:rsid w:val="007C3A85"/>
    <w:rsid w:val="00A8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CNMV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Martín Martín</dc:creator>
  <cp:lastModifiedBy>Rosario Martín Martín</cp:lastModifiedBy>
  <cp:revision>2</cp:revision>
  <dcterms:created xsi:type="dcterms:W3CDTF">2021-10-20T08:56:00Z</dcterms:created>
  <dcterms:modified xsi:type="dcterms:W3CDTF">2021-10-20T08:56:00Z</dcterms:modified>
</cp:coreProperties>
</file>